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144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2045"/>
        <w:tblGridChange w:id="0">
          <w:tblGrid>
            <w:gridCol w:w="2400"/>
            <w:gridCol w:w="120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rPr>
                <w:rFonts w:ascii="Calibri" w:cs="Calibri" w:eastAsia="Calibri" w:hAnsi="Calibri"/>
                <w:b w:val="1"/>
                <w:color w:val="b7b7b7"/>
              </w:rPr>
            </w:pPr>
            <w:r w:rsidDel="00000000" w:rsidR="00000000" w:rsidRPr="00000000">
              <w:rPr>
                <w:rFonts w:ascii="Calibri" w:cs="Calibri" w:eastAsia="Calibri" w:hAnsi="Calibri"/>
                <w:b w:val="1"/>
                <w:rtl w:val="0"/>
              </w:rPr>
              <w:t xml:space="preserve">Nazwa pola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Przykład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Numer identyfikacyjny innowacji</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544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Nazwa innowacji</w:t>
            </w:r>
          </w:p>
        </w:tc>
        <w:tc>
          <w:tcPr>
            <w:shd w:fill="auto" w:val="clear"/>
            <w:tcMar>
              <w:top w:w="100.0" w:type="dxa"/>
              <w:left w:w="100.0" w:type="dxa"/>
              <w:bottom w:w="100.0" w:type="dxa"/>
              <w:right w:w="100.0" w:type="dxa"/>
            </w:tcMar>
          </w:tcPr>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Otwarta kuchnia miejska</w:t>
            </w:r>
          </w:p>
        </w:tc>
      </w:tr>
      <w:tr>
        <w:trPr>
          <w:cantSplit w:val="0"/>
          <w:tblHeader w:val="0"/>
        </w:trPr>
        <w:tc>
          <w:tcPr>
            <w:gridSpan w:val="2"/>
            <w:shd w:fill="000000"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d9d9d9"/>
                <w:rtl w:val="0"/>
              </w:rPr>
              <w:t xml:space="preserve">Innowacja w skrócie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Esencja</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Dostępna publicznie kuchnia dla osób w kryzysie bezdomności.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Autor/autorka/autorzy innowacji</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Anna Niedziałkowska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Kiedy innowacja była testowana? </w:t>
            </w:r>
          </w:p>
        </w:tc>
        <w:tc>
          <w:tcPr>
            <w:shd w:fill="auto" w:val="clear"/>
            <w:tcMar>
              <w:top w:w="100.0" w:type="dxa"/>
              <w:left w:w="100.0" w:type="dxa"/>
              <w:bottom w:w="100.0" w:type="dxa"/>
              <w:right w:w="100.0" w:type="dxa"/>
            </w:tcMar>
          </w:tcPr>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2018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Czy innowacja jest nadal wykorzystywana/wdrażana?</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Tak, choć w nieco innej formie. Obecnie funkcjonuje Otwarta Kuchnia w Stowarzyszeniu Pomocy i Interwencji Społecznej. Jest to miejsce otwarte 4 dni w tygodniu, gdzie osoby w kryzysie mogą przyjść, gotować oraz korzystać z pomocy specjalistów - na miejscu są edukatorzy społeczni, którzy ich wspierają i animują.</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Calibri" w:cs="Calibri" w:eastAsia="Calibri" w:hAnsi="Calibri"/>
                <w:b w:val="1"/>
                <w:highlight w:val="yellow"/>
              </w:rPr>
            </w:pPr>
            <w:r w:rsidDel="00000000" w:rsidR="00000000" w:rsidRPr="00000000">
              <w:rPr>
                <w:rFonts w:ascii="Calibri" w:cs="Calibri" w:eastAsia="Calibri" w:hAnsi="Calibri"/>
                <w:b w:val="1"/>
                <w:rtl w:val="0"/>
              </w:rPr>
              <w:t xml:space="preserve">Więcej informacji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Otwarta kuchnia miejska, czyli budowanie relacji przy wspólnym stole – Inkubator pomysłów</w:t>
              </w:r>
            </w:hyperlink>
            <w:r w:rsidDel="00000000" w:rsidR="00000000" w:rsidRPr="00000000">
              <w:rPr>
                <w:rFonts w:ascii="Calibri" w:cs="Calibri" w:eastAsia="Calibri" w:hAnsi="Calibri"/>
                <w:rtl w:val="0"/>
              </w:rPr>
              <w:t xml:space="preserve"> </w:t>
            </w:r>
          </w:p>
        </w:tc>
      </w:tr>
      <w:tr>
        <w:trPr>
          <w:cantSplit w:val="0"/>
          <w:tblHeader w:val="0"/>
        </w:trPr>
        <w:tc>
          <w:tcPr>
            <w:gridSpan w:val="2"/>
            <w:shd w:fill="000000" w:val="clear"/>
            <w:tcMar>
              <w:top w:w="100.0" w:type="dxa"/>
              <w:left w:w="100.0" w:type="dxa"/>
              <w:bottom w:w="100.0" w:type="dxa"/>
              <w:right w:w="100.0" w:type="dxa"/>
            </w:tcMar>
          </w:tcPr>
          <w:p w:rsidR="00000000" w:rsidDel="00000000" w:rsidP="00000000" w:rsidRDefault="00000000" w:rsidRPr="00000000" w14:paraId="00000014">
            <w:pPr>
              <w:widowControl w:val="0"/>
              <w:numPr>
                <w:ilvl w:val="0"/>
                <w:numId w:val="1"/>
              </w:numPr>
              <w:spacing w:line="240" w:lineRule="auto"/>
              <w:ind w:left="720" w:right="-103" w:hanging="360"/>
              <w:jc w:val="center"/>
              <w:rPr>
                <w:rFonts w:ascii="Calibri" w:cs="Calibri" w:eastAsia="Calibri" w:hAnsi="Calibri"/>
                <w:b w:val="1"/>
                <w:color w:val="d9d9d9"/>
              </w:rPr>
            </w:pPr>
            <w:r w:rsidDel="00000000" w:rsidR="00000000" w:rsidRPr="00000000">
              <w:rPr>
                <w:rFonts w:ascii="Calibri" w:cs="Calibri" w:eastAsia="Calibri" w:hAnsi="Calibri"/>
                <w:b w:val="1"/>
                <w:color w:val="d9d9d9"/>
                <w:rtl w:val="0"/>
              </w:rPr>
              <w:t xml:space="preserve">Kto za tym stoi?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Autor/autorka/autorzy innowacji</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Anna Niedziałkowska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Kontakt w sprawie innowacji</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Anna Niedziałkowska - innowatorka</w:t>
            </w:r>
          </w:p>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 507 845 565</w:t>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mail: </w:t>
            </w:r>
            <w:hyperlink r:id="rId8">
              <w:r w:rsidDel="00000000" w:rsidR="00000000" w:rsidRPr="00000000">
                <w:rPr>
                  <w:rFonts w:ascii="Calibri" w:cs="Calibri" w:eastAsia="Calibri" w:hAnsi="Calibri"/>
                  <w:color w:val="1155cc"/>
                  <w:u w:val="single"/>
                  <w:rtl w:val="0"/>
                </w:rPr>
                <w:t xml:space="preserve">niedzialkowska.an@gmail.com</w:t>
              </w:r>
            </w:hyperlink>
            <w:r w:rsidDel="00000000" w:rsidR="00000000" w:rsidRPr="00000000">
              <w:rPr>
                <w:rFonts w:ascii="Calibri" w:cs="Calibri" w:eastAsia="Calibri" w:hAnsi="Calibri"/>
                <w:rtl w:val="0"/>
              </w:rPr>
              <w:t xml:space="preserve"> </w:t>
            </w:r>
          </w:p>
        </w:tc>
      </w:tr>
      <w:tr>
        <w:trPr>
          <w:cantSplit w:val="0"/>
          <w:tblHeader w:val="0"/>
        </w:trPr>
        <w:tc>
          <w:tcPr>
            <w:gridSpan w:val="2"/>
            <w:shd w:fill="000000" w:val="clear"/>
            <w:tcMar>
              <w:top w:w="100.0" w:type="dxa"/>
              <w:left w:w="100.0" w:type="dxa"/>
              <w:bottom w:w="100.0" w:type="dxa"/>
              <w:right w:w="100.0" w:type="dxa"/>
            </w:tcMar>
          </w:tcPr>
          <w:p w:rsidR="00000000" w:rsidDel="00000000" w:rsidP="00000000" w:rsidRDefault="00000000" w:rsidRPr="00000000" w14:paraId="0000001D">
            <w:pPr>
              <w:widowControl w:val="0"/>
              <w:numPr>
                <w:ilvl w:val="0"/>
                <w:numId w:val="1"/>
              </w:numPr>
              <w:tabs>
                <w:tab w:val="left" w:leader="none" w:pos="6290"/>
                <w:tab w:val="center" w:leader="none" w:pos="6877"/>
              </w:tabs>
              <w:spacing w:line="240" w:lineRule="auto"/>
              <w:ind w:left="720" w:hanging="360"/>
              <w:jc w:val="center"/>
              <w:rPr>
                <w:rFonts w:ascii="Calibri" w:cs="Calibri" w:eastAsia="Calibri" w:hAnsi="Calibri"/>
                <w:b w:val="1"/>
                <w:color w:val="d9d9d9"/>
              </w:rPr>
            </w:pPr>
            <w:r w:rsidDel="00000000" w:rsidR="00000000" w:rsidRPr="00000000">
              <w:rPr>
                <w:rFonts w:ascii="Calibri" w:cs="Calibri" w:eastAsia="Calibri" w:hAnsi="Calibri"/>
                <w:b w:val="1"/>
                <w:color w:val="d9d9d9"/>
                <w:rtl w:val="0"/>
              </w:rPr>
              <w:t xml:space="preserve">O innowacji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 jaki problem/potrzebę odpowiada innowacja?</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after="240" w:line="240" w:lineRule="auto"/>
              <w:rPr>
                <w:rFonts w:ascii="Calibri" w:cs="Calibri" w:eastAsia="Calibri" w:hAnsi="Calibri"/>
              </w:rPr>
            </w:pPr>
            <w:r w:rsidDel="00000000" w:rsidR="00000000" w:rsidRPr="00000000">
              <w:rPr>
                <w:rFonts w:ascii="Calibri" w:cs="Calibri" w:eastAsia="Calibri" w:hAnsi="Calibri"/>
                <w:rtl w:val="0"/>
              </w:rPr>
              <w:t xml:space="preserve">Innowacja odpowiada na problem niedożywienia wśród osób bezdomnych, ale przede wszystkim ich społecznej izolacji w przestrzeni miejskiej. Osoby doświadczające bezdomności, często cierpiące z powodu zaburzeń psychicznych, przebywające w przestrzeni publicznej są szczególnie narażone na dyskryminację i przemoc, co obniża ich poczucie bezpieczeństwa oraz zmniejsza szansę na nawiązywanie satysfakcjonujących relacji z osobami z innych grup społecznych.</w:t>
            </w:r>
          </w:p>
          <w:p w:rsidR="00000000" w:rsidDel="00000000" w:rsidP="00000000" w:rsidRDefault="00000000" w:rsidRPr="00000000" w14:paraId="00000021">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sz w:val="23"/>
                <w:szCs w:val="23"/>
                <w:rtl w:val="0"/>
              </w:rPr>
              <w:t xml:space="preserve">Gotowanie w miejscach niemieszkalnych, pomimo wysiłków osób bezdomnych w celu odpowiedniego ich przystosowania, wiąże się często z dużą niewygodą, a niekiedy również zagrożeniem życia. Może też generować koszty przekraczające możliwości tych osób, przez co zmuszone są one do rezygnacji z pełnego zaspokojenia swoich potrzeb. Jednocześnie nie istnieje możliwość skorzystania z jadłodajni w godzinach popołudniowych i wieczornych, ponieważ świadczą one swe usługi jedynie w godzinach porannych, co wyklucza m.in. osoby które podjęły się pracy zawodowej. </w:t>
            </w:r>
            <w:r w:rsidDel="00000000" w:rsidR="00000000" w:rsidRPr="00000000">
              <w:rPr>
                <w:rtl w:val="0"/>
              </w:rPr>
            </w:r>
          </w:p>
        </w:tc>
      </w:tr>
      <w:tr>
        <w:trPr>
          <w:cantSplit w:val="0"/>
          <w:tblHeader w:val="0"/>
        </w:trPr>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Temat</w:t>
            </w:r>
          </w:p>
        </w:tc>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aktywizacja społeczna</w:t>
            </w:r>
            <w:r w:rsidDel="00000000" w:rsidR="00000000" w:rsidRPr="00000000">
              <w:rPr>
                <w:rtl w:val="0"/>
              </w:rPr>
            </w:r>
          </w:p>
          <w:p w:rsidR="00000000" w:rsidDel="00000000" w:rsidP="00000000" w:rsidRDefault="00000000" w:rsidRPr="00000000" w14:paraId="00000024">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wsparcie psychologiczne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 czym polega innowacja? Jak działa?</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after="240" w:line="240" w:lineRule="auto"/>
              <w:rPr>
                <w:rFonts w:ascii="Calibri" w:cs="Calibri" w:eastAsia="Calibri" w:hAnsi="Calibri"/>
              </w:rPr>
            </w:pPr>
            <w:r w:rsidDel="00000000" w:rsidR="00000000" w:rsidRPr="00000000">
              <w:rPr>
                <w:rFonts w:ascii="Calibri" w:cs="Calibri" w:eastAsia="Calibri" w:hAnsi="Calibri"/>
                <w:rtl w:val="0"/>
              </w:rPr>
              <w:t xml:space="preserve">Istota “Otwartej kuchni miejskiej” polega na organizacji miejsca – istniejącego już w przestrzeni publicznej pomieszczenia z kuchnią - które posłuży do regularnych spotkań poświęconych gotowaniu, dedykowanych osobom z doświadczeniem bezdomności.</w:t>
            </w:r>
          </w:p>
          <w:p w:rsidR="00000000" w:rsidDel="00000000" w:rsidP="00000000" w:rsidRDefault="00000000" w:rsidRPr="00000000" w14:paraId="00000027">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W ramach “Otwartej kuchni miejskiej” tworzy się stałą grupę składającą się z osób bezdomnych oraz w inny sposób wykluczonych społecznie (np. starszych i samotnych), które podczas regularnych spotkań w swobodnych, nieformalnych warunkach mogą się wzajemnie wspierać i inspirować do kolejnych działań. Dobrze jest, gdy uczestnicy mają zapewniony również bezpłatny dostęp do artykułów żywnościowych, tak aby „próg wejścia” do grupy nie był uzależniony od ich zasobów materialnych.</w:t>
            </w:r>
          </w:p>
          <w:p w:rsidR="00000000" w:rsidDel="00000000" w:rsidP="00000000" w:rsidRDefault="00000000" w:rsidRPr="00000000" w14:paraId="00000028">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Spotkania odbywają się w nieformalnej atmosferze, a obecność na nich nie jest nigdy obowiązkowa. Oprócz gotowania w ramach spotkań można realizować również inne aktywności, w zależności od potrzeb zgłoszonych przez członków grupy.</w:t>
            </w:r>
          </w:p>
          <w:p w:rsidR="00000000" w:rsidDel="00000000" w:rsidP="00000000" w:rsidRDefault="00000000" w:rsidRPr="00000000" w14:paraId="00000029">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Efektem realizacji tej inicjatywy w miejscu otwartym również na innych mieszkańców, takim jak np. wspomniany już dom sąsiedzki, jest zintegrowanie tych osób z lokalną społecznością oraz – w dłuższej perspektywie – zmiana ich społecznego wizerunku.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Dla kogo?</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osoby doświadczające bezdomności, które przebywają w schroniskach</w:t>
            </w:r>
            <w:r w:rsidDel="00000000" w:rsidR="00000000" w:rsidRPr="00000000">
              <w:rPr>
                <w:rtl w:val="0"/>
              </w:rPr>
            </w:r>
          </w:p>
          <w:p w:rsidR="00000000" w:rsidDel="00000000" w:rsidP="00000000" w:rsidRDefault="00000000" w:rsidRPr="00000000" w14:paraId="0000002C">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osoby doświadczające bezdomności, znajdujące się poza wsparciem instytucjonalnym, przebywające na ulicy i w miejscach niemieszkalnych</w:t>
            </w:r>
          </w:p>
          <w:p w:rsidR="00000000" w:rsidDel="00000000" w:rsidP="00000000" w:rsidRDefault="00000000" w:rsidRPr="00000000" w14:paraId="0000002D">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inne osoby doświadczające wykluczenia społecznego, np. seniorzy, osoby samotne, ludzie w trudnej sytuacji finansowej</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Kto może wdrażać innowację?</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miejsca aktywności lokalnej (MAL)</w:t>
            </w:r>
            <w:r w:rsidDel="00000000" w:rsidR="00000000" w:rsidRPr="00000000">
              <w:rPr>
                <w:rtl w:val="0"/>
              </w:rPr>
            </w:r>
          </w:p>
          <w:p w:rsidR="00000000" w:rsidDel="00000000" w:rsidP="00000000" w:rsidRDefault="00000000" w:rsidRPr="00000000" w14:paraId="00000030">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organizacje zajmujące się problemami osób w kryzysie bezdomności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 się zmieniło w wyniku zastosowania tej innowacji?</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Grupa osób w kryzysie bezdomności zaczęła spotykać się regularnie na wspólne gotowanie i posiłek.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Typ innowacji</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nowa technologia</w:t>
            </w:r>
            <w:r w:rsidDel="00000000" w:rsidR="00000000" w:rsidRPr="00000000">
              <w:rPr>
                <w:rtl w:val="0"/>
              </w:rPr>
            </w:r>
          </w:p>
          <w:p w:rsidR="00000000" w:rsidDel="00000000" w:rsidP="00000000" w:rsidRDefault="00000000" w:rsidRPr="00000000" w14:paraId="00000035">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sieciowanie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 powstało w wyniku testowania?</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Opis modelu innowacji “Otwarta kuchnia miejska”, w tym m.in.:</w:t>
            </w:r>
            <w:r w:rsidDel="00000000" w:rsidR="00000000" w:rsidRPr="00000000">
              <w:rPr>
                <w:rtl w:val="0"/>
              </w:rPr>
            </w:r>
          </w:p>
          <w:p w:rsidR="00000000" w:rsidDel="00000000" w:rsidP="00000000" w:rsidRDefault="00000000" w:rsidRPr="00000000" w14:paraId="00000038">
            <w:pPr>
              <w:widowControl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projekt Otwartej kuchni,</w:t>
            </w:r>
            <w:r w:rsidDel="00000000" w:rsidR="00000000" w:rsidRPr="00000000">
              <w:rPr>
                <w:rtl w:val="0"/>
              </w:rPr>
            </w:r>
          </w:p>
          <w:p w:rsidR="00000000" w:rsidDel="00000000" w:rsidP="00000000" w:rsidRDefault="00000000" w:rsidRPr="00000000" w14:paraId="00000039">
            <w:pPr>
              <w:widowControl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przykładowy regulamin Otwartej kuchni,</w:t>
            </w:r>
            <w:r w:rsidDel="00000000" w:rsidR="00000000" w:rsidRPr="00000000">
              <w:rPr>
                <w:rtl w:val="0"/>
              </w:rPr>
            </w:r>
          </w:p>
          <w:p w:rsidR="00000000" w:rsidDel="00000000" w:rsidP="00000000" w:rsidRDefault="00000000" w:rsidRPr="00000000" w14:paraId="0000003A">
            <w:pPr>
              <w:widowControl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przykładowe zaproszenie na spotkanie Otwartej kuchni,</w:t>
            </w:r>
            <w:r w:rsidDel="00000000" w:rsidR="00000000" w:rsidRPr="00000000">
              <w:rPr>
                <w:rtl w:val="0"/>
              </w:rPr>
            </w:r>
          </w:p>
          <w:p w:rsidR="00000000" w:rsidDel="00000000" w:rsidP="00000000" w:rsidRDefault="00000000" w:rsidRPr="00000000" w14:paraId="0000003B">
            <w:pPr>
              <w:widowControl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wskazówki dot. rekrutacji osób do projektu.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 czym polega nowatorstwo tego rozwiązania? Czym różni się od innych, standardowych rozwiązań?</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“Otwarta kuchnia miejska” uzupełnia infrastrukturę przeznaczoną dla osób w kryzysie bezdomności o element, którego do tej pory brakowało - kuchnię, w której mogą samodzielnie przygotować posiłek, i to taki, na który mają właśnie ochotę.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Gdzie odbył się test innowacji?</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Calibri" w:cs="Calibri" w:eastAsia="Calibri" w:hAnsi="Calibri"/>
                <w:color w:val="404040"/>
              </w:rPr>
            </w:pPr>
            <w:r w:rsidDel="00000000" w:rsidR="00000000" w:rsidRPr="00000000">
              <w:rPr>
                <w:rFonts w:ascii="Calibri" w:cs="Calibri" w:eastAsia="Calibri" w:hAnsi="Calibri"/>
                <w:color w:val="404040"/>
                <w:rtl w:val="0"/>
              </w:rPr>
              <w:t xml:space="preserve">Warszawa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Czy test innowacji został zakończony?</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Czy wyniki testu innowacji potwierdzają jej zakładaną użyteczność? Czy przyniosła spodziewane zmiany w życiu odbiorców?</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Czy innowacja jest nadal wykorzystywana/ wdrażana?</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Tak, choć w nieco innej formie. Obecnie funkcjonuje Otwarta Kuchnia w Stowarzyszeniu Pomocy i Interwencji Społecznej. Jest to miejsce otwarte 4 dni w tygodniu, gdzie osoby w kryzysie mogą przyjść, gotować oraz korzystać z pomocy specjalistów - na miejscu są edukatorzy społeczni, którzy ich wspierają i animują.</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Wnioski z testowania</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Zespół</w:t>
            </w:r>
          </w:p>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Podczas testowania dobrze sprawdził się zespół składający się z 3 osób - poza innowatorką w projekt zaangażowany był jeszcze animator i pracownica socjalna. </w:t>
            </w:r>
          </w:p>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Rekrutacja odbiorców innowacji</w:t>
            </w:r>
          </w:p>
          <w:p w:rsidR="00000000" w:rsidDel="00000000" w:rsidP="00000000" w:rsidRDefault="00000000" w:rsidRPr="00000000" w14:paraId="0000004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Rekrutacja powinna być przemyślana i otwarta na niepowodzenia w początkowej fazie. Warto być przygotowanym na to, że grupa będzie się kształtować, zmieniać i stopniowo rozrastać. W związku z tym zaleca się cierpliwą i niespieszną promocję spotkań – nie należy kierować oferty do zbyt wielu środowisk równocześnie, aby liczebność grupy nie przerosła możliwości organizacyjnych koordynatorów. W rekrutacji warto skorzystać z działających już sieci komunikacji – nawiązać współpracę z istniejącymi organizacjami zajmującymi się problemami osób doświadczających bezdomności, schroniskami, streetworkerami i innymi instytucjami, które mogą pomóc w promowaniu spotkań. Równocześnie warto zachęcać do udziału w projekcie osoby (w szczególności seniorów) na co dzień odwiedzające miejsce, w którym będą odbywać się spotkania „Otwartej kuchni miejskiej”.</w:t>
            </w:r>
          </w:p>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Miejsce</w:t>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Przestrzeń, w jakiej odbywać się będą spotkania jest więc bardzo istotnym aspektem innowacji. Musi to być oczywiście miejsce z aneksem kuchennym oraz przestrzenią jadalną. Równie ważne jednak jest to, by było to miejsce otwarte dla każdego mieszkańca. Osoby w kryzysie bezdomności mogą mieć opory przed wejściem do przestrzeni, która wyda im się zbyt ekskluzywna i przeznaczona dla określonej grupy.</w:t>
            </w:r>
          </w:p>
          <w:p w:rsidR="00000000" w:rsidDel="00000000" w:rsidP="00000000" w:rsidRDefault="00000000" w:rsidRPr="00000000" w14:paraId="00000052">
            <w:pPr>
              <w:widowControl w:val="0"/>
              <w:spacing w:line="240" w:lineRule="auto"/>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 się nie udało</w:t>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Podczas testowania innowacji ograniczeniem w zachowaniu regularności przychodzenia na spotkania dla części uczestników był ich problem z utrzymaniem abstynencji. Uzależnienie od alkoholu stanowiło główną przyczynę rezygnacji części osób z uczestnictwa w projekcie. Zdarzyła się również sytuacja, w której innowatorzy byli zmuszeni wyprosić uczestnika z zajęć ze względu na jego nietrzeźwość. Jest to przeszkoda, na którą często natrafia się podczas pracy z osobami bezdomnymi, ponieważ znaczna ich część zmaga się z problemem alkoholowym. W przypadku opisywanej innowacji oznacza to, że należy liczyć się ze zmianami w składzie osobowym grupy.</w:t>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Wypowiedzi odbiorców innowacji:</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“Ogólnie jest taki fajny, rodzinny rejwach. Jest to kuchnia taka, wiesz, typowa. Wszyscy się spotykają w tej kuchni, jest stół, jest miejsce do roboty kuchennej, no i ludzie, którzy są najważniejsi w tej kuchni.” - uczestnik spotkań</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 ogóle sobie nie wyobrażamy soboty bez spotkania kuchni. Dla mnie to stało się regułą – jest sobota, musi być spotkanie. Co to za sobota bez kuchni?” - uczestnik spotkań</w:t>
            </w:r>
          </w:p>
          <w:p w:rsidR="00000000" w:rsidDel="00000000" w:rsidP="00000000" w:rsidRDefault="00000000" w:rsidRPr="00000000" w14:paraId="0000005C">
            <w:pPr>
              <w:widowControl w:val="0"/>
              <w:spacing w:line="240" w:lineRule="auto"/>
              <w:rPr>
                <w:rFonts w:ascii="Calibri" w:cs="Calibri" w:eastAsia="Calibri" w:hAnsi="Calibri"/>
                <w:color w:val="666666"/>
              </w:rPr>
            </w:pPr>
            <w:r w:rsidDel="00000000" w:rsidR="00000000" w:rsidRPr="00000000">
              <w:rPr>
                <w:rtl w:val="0"/>
              </w:rPr>
            </w:r>
          </w:p>
        </w:tc>
      </w:tr>
      <w:tr>
        <w:trPr>
          <w:cantSplit w:val="0"/>
          <w:tblHeader w:val="0"/>
        </w:trPr>
        <w:tc>
          <w:tcPr>
            <w:gridSpan w:val="2"/>
            <w:shd w:fill="000000" w:val="clear"/>
            <w:tcMar>
              <w:top w:w="100.0" w:type="dxa"/>
              <w:left w:w="100.0" w:type="dxa"/>
              <w:bottom w:w="100.0" w:type="dxa"/>
              <w:right w:w="100.0" w:type="dxa"/>
            </w:tcMar>
          </w:tcPr>
          <w:p w:rsidR="00000000" w:rsidDel="00000000" w:rsidP="00000000" w:rsidRDefault="00000000" w:rsidRPr="00000000" w14:paraId="0000005D">
            <w:pPr>
              <w:widowControl w:val="0"/>
              <w:numPr>
                <w:ilvl w:val="0"/>
                <w:numId w:val="1"/>
              </w:numPr>
              <w:spacing w:line="240" w:lineRule="auto"/>
              <w:ind w:left="720" w:hanging="36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Chcę wdrożyć tę innowację</w:t>
            </w:r>
          </w:p>
        </w:tc>
      </w:tr>
      <w:tr>
        <w:trPr>
          <w:cantSplit w:val="0"/>
          <w:tblHeader w:val="0"/>
        </w:trPr>
        <w:tc>
          <w:tcPr>
            <w:gridSpan w:val="2"/>
            <w:shd w:fill="000000"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ZASOBY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Kto jest niezbędny do wdrożenia innowacji?</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zespół składający się z osób, które mają doświadczenie w pracy z osobami w kryzysie bezdomności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 jest niezbędne do wdrożenia innowacji?</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ogólnodostępna przestrzeń z aneksem kuchennym</w:t>
            </w:r>
            <w:r w:rsidDel="00000000" w:rsidR="00000000" w:rsidRPr="00000000">
              <w:rPr>
                <w:rtl w:val="0"/>
              </w:rPr>
            </w:r>
          </w:p>
          <w:p w:rsidR="00000000" w:rsidDel="00000000" w:rsidP="00000000" w:rsidRDefault="00000000" w:rsidRPr="00000000" w14:paraId="00000065">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produkty spożywcze</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Koszt wdrożenia innowacji</w:t>
            </w:r>
          </w:p>
        </w:tc>
        <w:tc>
          <w:tcP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Przy założeniu, że innowacja realizowana jest w istniejącej już przestrzeni udostępnianej nieodpłatnie, innowację zrealizować można bardzo niskim kosztem. Na składniki do obiadów nie potrzeba wydawać dużo, gdyż wiele można uzyskać z innych źródeł, np. współpracując z bankami żywności. Warto jednak przeznaczyć pewien budżet na zakup produktów żywnościowych, ponieważ wówczas można realizować konkretne projekty kulinarne uczestników. Główny koszt projektu stanowią wynagrodzenia dla osób koordynujących, które podczas testowania wynosiły 50 zł brutto za godzinę pracy. Przy założeniu, że przy projekcie zatrudnione będą dwie osoby, realizujące trzygodzinne spotkania raz w tygodniu za podaną stawkę, wiąże się on z kosztem 1200 brutto miesięcznie.</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Dodatkowo można obniżyć koszty projektu korzystając z różnych możliwości nieodpłatnego pozyskiwania żywności.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ZAŁĄCZNIKI</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https://inkubatorpomyslow.org.pl/app/uploads/2019/02/otwartakuchnia_www.pdf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B">
            <w:pPr>
              <w:widowControl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Otwarta kuchnia miejska</w:t>
              </w:r>
            </w:hyperlink>
            <w:r w:rsidDel="00000000" w:rsidR="00000000" w:rsidRPr="00000000">
              <w:rPr>
                <w:rFonts w:ascii="Calibri" w:cs="Calibri" w:eastAsia="Calibri" w:hAnsi="Calibri"/>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MULTIMEDIA</w:t>
            </w:r>
          </w:p>
        </w:tc>
        <w:tc>
          <w:tcPr>
            <w:shd w:fill="auto" w:val="clear"/>
            <w:tcMar>
              <w:top w:w="100.0" w:type="dxa"/>
              <w:left w:w="100.0" w:type="dxa"/>
              <w:bottom w:w="100.0" w:type="dxa"/>
              <w:right w:w="100.0" w:type="dxa"/>
            </w:tcMar>
          </w:tcPr>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rtl w:val="0"/>
              </w:rPr>
              <w:t xml:space="preserve">Film: </w:t>
            </w:r>
            <w:hyperlink r:id="rId11">
              <w:r w:rsidDel="00000000" w:rsidR="00000000" w:rsidRPr="00000000">
                <w:rPr>
                  <w:color w:val="0000ee"/>
                  <w:u w:val="single"/>
                  <w:shd w:fill="auto" w:val="clear"/>
                  <w:rtl w:val="0"/>
                </w:rPr>
                <w:t xml:space="preserve">Otwarta Kuchnia Miejska - innowacjespoleczne.org.pl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rtl w:val="0"/>
              </w:rPr>
              <w:t xml:space="preserve">Zdjęcia:</w:t>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UWAGI, DODATKOWE MATERIAŁY I INFORMACJE</w:t>
            </w:r>
          </w:p>
        </w:tc>
        <w:tc>
          <w:tcPr>
            <w:shd w:fill="auto" w:val="clear"/>
            <w:tcMar>
              <w:top w:w="100.0" w:type="dxa"/>
              <w:left w:w="100.0" w:type="dxa"/>
              <w:bottom w:w="100.0" w:type="dxa"/>
              <w:right w:w="100.0" w:type="dxa"/>
            </w:tcMar>
          </w:tcPr>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color w:val="d9d9d9"/>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sectPr>
      <w:pgSz w:h="11909" w:w="16834" w:orient="landscape"/>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table" w:styleId="a" w:customStyle="1">
    <w:basedOn w:val="TableNormal4"/>
    <w:tblPr>
      <w:tblStyleRowBandSize w:val="1"/>
      <w:tblStyleColBandSize w:val="1"/>
      <w:tblCellMar>
        <w:top w:w="100.0" w:type="dxa"/>
        <w:left w:w="100.0" w:type="dxa"/>
        <w:bottom w:w="100.0" w:type="dxa"/>
        <w:right w:w="100.0" w:type="dxa"/>
      </w:tblCellMar>
    </w:tblPr>
  </w:style>
  <w:style w:type="character" w:styleId="Hipercze">
    <w:name w:val="Hyperlink"/>
    <w:basedOn w:val="Domylnaczcionkaakapitu"/>
    <w:uiPriority w:val="99"/>
    <w:unhideWhenUsed w:val="1"/>
    <w:rsid w:val="00966EB4"/>
    <w:rPr>
      <w:color w:val="0000ff" w:themeColor="hyperlink"/>
      <w:u w:val="single"/>
    </w:rPr>
  </w:style>
  <w:style w:type="character" w:styleId="Nierozpoznanawzmianka">
    <w:name w:val="Unresolved Mention"/>
    <w:basedOn w:val="Domylnaczcionkaakapitu"/>
    <w:uiPriority w:val="99"/>
    <w:semiHidden w:val="1"/>
    <w:unhideWhenUsed w:val="1"/>
    <w:rsid w:val="00966EB4"/>
    <w:rPr>
      <w:color w:val="605e5c"/>
      <w:shd w:color="auto" w:fill="e1dfdd" w:val="clear"/>
    </w:rPr>
  </w:style>
  <w:style w:type="paragraph" w:styleId="Akapitzlist">
    <w:name w:val="List Paragraph"/>
    <w:basedOn w:val="Normalny"/>
    <w:uiPriority w:val="34"/>
    <w:qFormat w:val="1"/>
    <w:rsid w:val="001B5AA9"/>
    <w:pPr>
      <w:ind w:left="720"/>
      <w:contextualSpacing w:val="1"/>
    </w:pPr>
  </w:style>
  <w:style w:type="table" w:styleId="a0" w:customStyle="1">
    <w:basedOn w:val="TableNormal4"/>
    <w:tblPr>
      <w:tblStyleRowBandSize w:val="1"/>
      <w:tblStyleColBandSize w:val="1"/>
      <w:tblCellMar>
        <w:top w:w="100.0" w:type="dxa"/>
        <w:left w:w="100.0" w:type="dxa"/>
        <w:bottom w:w="100.0" w:type="dxa"/>
        <w:right w:w="100.0" w:type="dxa"/>
      </w:tblCellMar>
    </w:tblPr>
  </w:style>
  <w:style w:type="paragraph" w:styleId="Tekstkomentarza">
    <w:name w:val="annotation text"/>
    <w:basedOn w:val="Normalny"/>
    <w:link w:val="TekstkomentarzaZnak"/>
    <w:uiPriority w:val="99"/>
    <w:semiHidden w:val="1"/>
    <w:unhideWhenUsed w:val="1"/>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Pr>
      <w:sz w:val="20"/>
      <w:szCs w:val="20"/>
    </w:rPr>
  </w:style>
  <w:style w:type="character" w:styleId="Odwoaniedokomentarza">
    <w:name w:val="annotation reference"/>
    <w:basedOn w:val="Domylnaczcionkaakapitu"/>
    <w:uiPriority w:val="99"/>
    <w:semiHidden w:val="1"/>
    <w:unhideWhenUsed w:val="1"/>
    <w:rPr>
      <w:sz w:val="16"/>
      <w:szCs w:val="16"/>
    </w:rPr>
  </w:style>
  <w:style w:type="paragraph" w:styleId="Tematkomentarza">
    <w:name w:val="annotation subject"/>
    <w:basedOn w:val="Tekstkomentarza"/>
    <w:next w:val="Tekstkomentarza"/>
    <w:link w:val="TematkomentarzaZnak"/>
    <w:uiPriority w:val="99"/>
    <w:semiHidden w:val="1"/>
    <w:unhideWhenUsed w:val="1"/>
    <w:rsid w:val="00930A7E"/>
    <w:rPr>
      <w:b w:val="1"/>
      <w:bCs w:val="1"/>
    </w:rPr>
  </w:style>
  <w:style w:type="character" w:styleId="TematkomentarzaZnak" w:customStyle="1">
    <w:name w:val="Temat komentarza Znak"/>
    <w:basedOn w:val="TekstkomentarzaZnak"/>
    <w:link w:val="Tematkomentarza"/>
    <w:uiPriority w:val="99"/>
    <w:semiHidden w:val="1"/>
    <w:rsid w:val="00930A7E"/>
    <w:rPr>
      <w:b w:val="1"/>
      <w:bCs w:val="1"/>
      <w:sz w:val="20"/>
      <w:szCs w:val="20"/>
    </w:rPr>
  </w:style>
  <w:style w:type="paragraph" w:styleId="Tekstdymka">
    <w:name w:val="Balloon Text"/>
    <w:basedOn w:val="Normalny"/>
    <w:link w:val="TekstdymkaZnak"/>
    <w:uiPriority w:val="99"/>
    <w:semiHidden w:val="1"/>
    <w:unhideWhenUsed w:val="1"/>
    <w:rsid w:val="00492133"/>
    <w:pPr>
      <w:spacing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492133"/>
    <w:rPr>
      <w:rFonts w:ascii="Segoe UI" w:cs="Segoe UI" w:hAnsi="Segoe UI"/>
      <w:sz w:val="18"/>
      <w:szCs w:val="18"/>
    </w:rPr>
  </w:style>
  <w:style w:type="paragraph" w:styleId="NormalnyWeb">
    <w:name w:val="Normal (Web)"/>
    <w:basedOn w:val="Normalny"/>
    <w:uiPriority w:val="99"/>
    <w:unhideWhenUsed w:val="1"/>
    <w:rsid w:val="00BD0CDC"/>
    <w:pPr>
      <w:spacing w:after="100" w:afterAutospacing="1" w:before="100" w:beforeAutospacing="1" w:line="240" w:lineRule="auto"/>
    </w:pPr>
    <w:rPr>
      <w:rFonts w:ascii="Times New Roman" w:cs="Times New Roman" w:eastAsia="Times New Roman" w:hAnsi="Times New Roman"/>
      <w:sz w:val="24"/>
      <w:szCs w:val="24"/>
      <w:lang w:val="pl-PL"/>
    </w:rPr>
  </w:style>
  <w:style w:type="character" w:styleId="A5" w:customStyle="1">
    <w:name w:val="A5"/>
    <w:uiPriority w:val="99"/>
    <w:rsid w:val="00BD0CDC"/>
    <w:rPr>
      <w:rFonts w:cs="Titillium Lt"/>
      <w:color w:val="000000"/>
    </w:rPr>
  </w:style>
  <w:style w:type="character" w:styleId="UyteHipercze">
    <w:name w:val="FollowedHyperlink"/>
    <w:basedOn w:val="Domylnaczcionkaakapitu"/>
    <w:uiPriority w:val="99"/>
    <w:semiHidden w:val="1"/>
    <w:unhideWhenUsed w:val="1"/>
    <w:rsid w:val="004313D5"/>
    <w:rPr>
      <w:color w:val="800080" w:themeColor="followedHyperlink"/>
      <w:u w:val="single"/>
    </w:rPr>
  </w:style>
  <w:style w:type="table" w:styleId="a1" w:customStyle="1">
    <w:basedOn w:val="TableNormal3"/>
    <w:tblPr>
      <w:tblStyleRowBandSize w:val="1"/>
      <w:tblStyleColBandSize w:val="1"/>
      <w:tblCellMar>
        <w:top w:w="100.0" w:type="dxa"/>
        <w:left w:w="100.0" w:type="dxa"/>
        <w:bottom w:w="100.0" w:type="dxa"/>
        <w:right w:w="100.0" w:type="dxa"/>
      </w:tblCellMar>
    </w:tblPr>
  </w:style>
  <w:style w:type="table" w:styleId="a2" w:customStyle="1">
    <w:basedOn w:val="TableNormal3"/>
    <w:tblPr>
      <w:tblStyleRowBandSize w:val="1"/>
      <w:tblStyleColBandSize w:val="1"/>
      <w:tblCellMar>
        <w:top w:w="100.0" w:type="dxa"/>
        <w:left w:w="100.0" w:type="dxa"/>
        <w:bottom w:w="100.0" w:type="dxa"/>
        <w:right w:w="100.0" w:type="dxa"/>
      </w:tblCellMar>
    </w:tblPr>
  </w:style>
  <w:style w:type="table" w:styleId="a3" w:customStyle="1">
    <w:basedOn w:val="TableNormal3"/>
    <w:tblPr>
      <w:tblStyleRowBandSize w:val="1"/>
      <w:tblStyleColBandSize w:val="1"/>
      <w:tblCellMar>
        <w:top w:w="100.0" w:type="dxa"/>
        <w:left w:w="100.0" w:type="dxa"/>
        <w:bottom w:w="100.0" w:type="dxa"/>
        <w:right w:w="100.0" w:type="dxa"/>
      </w:tblCellMar>
    </w:tblPr>
  </w:style>
  <w:style w:type="table" w:styleId="a4" w:customStyle="1">
    <w:basedOn w:val="TableNormal3"/>
    <w:tblPr>
      <w:tblStyleRowBandSize w:val="1"/>
      <w:tblStyleColBandSize w:val="1"/>
      <w:tblCellMar>
        <w:top w:w="100.0" w:type="dxa"/>
        <w:left w:w="100.0" w:type="dxa"/>
        <w:bottom w:w="100.0" w:type="dxa"/>
        <w:right w:w="100.0" w:type="dxa"/>
      </w:tblCellMar>
    </w:tblPr>
  </w:style>
  <w:style w:type="table" w:styleId="a6" w:customStyle="1">
    <w:basedOn w:val="TableNormal2"/>
    <w:tblPr>
      <w:tblStyleRowBandSize w:val="1"/>
      <w:tblStyleColBandSize w:val="1"/>
      <w:tblCellMar>
        <w:top w:w="100.0" w:type="dxa"/>
        <w:left w:w="100.0" w:type="dxa"/>
        <w:bottom w:w="100.0" w:type="dxa"/>
        <w:right w:w="100.0" w:type="dxa"/>
      </w:tblCellMar>
    </w:tblPr>
  </w:style>
  <w:style w:type="table" w:styleId="a7" w:customStyle="1">
    <w:basedOn w:val="TableNormal2"/>
    <w:tblPr>
      <w:tblStyleRowBandSize w:val="1"/>
      <w:tblStyleColBandSize w:val="1"/>
      <w:tblCellMar>
        <w:top w:w="100.0" w:type="dxa"/>
        <w:left w:w="100.0" w:type="dxa"/>
        <w:bottom w:w="100.0" w:type="dxa"/>
        <w:right w:w="100.0" w:type="dxa"/>
      </w:tblCellMar>
    </w:tblPr>
  </w:style>
  <w:style w:type="table" w:styleId="a8" w:customStyle="1">
    <w:basedOn w:val="TableNormal2"/>
    <w:tblPr>
      <w:tblStyleRowBandSize w:val="1"/>
      <w:tblStyleColBandSize w:val="1"/>
      <w:tblCellMar>
        <w:top w:w="100.0" w:type="dxa"/>
        <w:left w:w="100.0" w:type="dxa"/>
        <w:bottom w:w="100.0" w:type="dxa"/>
        <w:right w:w="100.0" w:type="dxa"/>
      </w:tblCellMar>
    </w:tblPr>
  </w:style>
  <w:style w:type="table" w:styleId="a9" w:customStyle="1">
    <w:basedOn w:val="TableNormal2"/>
    <w:tblPr>
      <w:tblStyleRowBandSize w:val="1"/>
      <w:tblStyleColBandSize w:val="1"/>
      <w:tblCellMar>
        <w:top w:w="100.0" w:type="dxa"/>
        <w:left w:w="100.0" w:type="dxa"/>
        <w:bottom w:w="100.0" w:type="dxa"/>
        <w:right w:w="100.0" w:type="dxa"/>
      </w:tblCellMar>
    </w:tblPr>
  </w:style>
  <w:style w:type="table" w:styleId="aa" w:customStyle="1">
    <w:basedOn w:val="TableNormal2"/>
    <w:tblPr>
      <w:tblStyleRowBandSize w:val="1"/>
      <w:tblStyleColBandSize w:val="1"/>
      <w:tblCellMar>
        <w:top w:w="100.0" w:type="dxa"/>
        <w:left w:w="100.0" w:type="dxa"/>
        <w:bottom w:w="100.0" w:type="dxa"/>
        <w:right w:w="100.0" w:type="dxa"/>
      </w:tblCellMar>
    </w:tblPr>
  </w:style>
  <w:style w:type="table" w:styleId="ab" w:customStyle="1">
    <w:basedOn w:val="TableNormal2"/>
    <w:tblPr>
      <w:tblStyleRowBandSize w:val="1"/>
      <w:tblStyleColBandSize w:val="1"/>
      <w:tblCellMar>
        <w:top w:w="100.0" w:type="dxa"/>
        <w:left w:w="100.0" w:type="dxa"/>
        <w:bottom w:w="100.0" w:type="dxa"/>
        <w:right w:w="100.0" w:type="dxa"/>
      </w:tblCellMar>
    </w:tblPr>
  </w:style>
  <w:style w:type="table" w:styleId="ac" w:customStyle="1">
    <w:basedOn w:val="TableNormal2"/>
    <w:tblPr>
      <w:tblStyleRowBandSize w:val="1"/>
      <w:tblStyleColBandSize w:val="1"/>
      <w:tblCellMar>
        <w:top w:w="100.0" w:type="dxa"/>
        <w:left w:w="100.0" w:type="dxa"/>
        <w:bottom w:w="100.0" w:type="dxa"/>
        <w:right w:w="100.0" w:type="dxa"/>
      </w:tblCellMar>
    </w:tblPr>
  </w:style>
  <w:style w:type="table" w:styleId="ad" w:customStyle="1">
    <w:basedOn w:val="TableNormal2"/>
    <w:tblPr>
      <w:tblStyleRowBandSize w:val="1"/>
      <w:tblStyleColBandSize w:val="1"/>
      <w:tblCellMar>
        <w:top w:w="100.0" w:type="dxa"/>
        <w:left w:w="100.0" w:type="dxa"/>
        <w:bottom w:w="100.0" w:type="dxa"/>
        <w:right w:w="100.0" w:type="dxa"/>
      </w:tblCellMar>
    </w:tblPr>
  </w:style>
  <w:style w:type="table" w:styleId="ae" w:customStyle="1">
    <w:basedOn w:val="TableNormal2"/>
    <w:tblPr>
      <w:tblStyleRowBandSize w:val="1"/>
      <w:tblStyleColBandSize w:val="1"/>
      <w:tblCellMar>
        <w:top w:w="100.0" w:type="dxa"/>
        <w:left w:w="100.0" w:type="dxa"/>
        <w:bottom w:w="100.0" w:type="dxa"/>
        <w:right w:w="100.0" w:type="dxa"/>
      </w:tblCellMar>
    </w:tblPr>
  </w:style>
  <w:style w:type="table" w:styleId="af" w:customStyle="1">
    <w:basedOn w:val="TableNormal2"/>
    <w:tblPr>
      <w:tblStyleRowBandSize w:val="1"/>
      <w:tblStyleColBandSize w:val="1"/>
      <w:tblCellMar>
        <w:top w:w="100.0" w:type="dxa"/>
        <w:left w:w="100.0" w:type="dxa"/>
        <w:bottom w:w="100.0" w:type="dxa"/>
        <w:right w:w="100.0" w:type="dxa"/>
      </w:tblCellMar>
    </w:tblPr>
  </w:style>
  <w:style w:type="table" w:styleId="af0" w:customStyle="1">
    <w:basedOn w:val="TableNormal2"/>
    <w:tblPr>
      <w:tblStyleRowBandSize w:val="1"/>
      <w:tblStyleColBandSize w:val="1"/>
      <w:tblCellMar>
        <w:top w:w="100.0" w:type="dxa"/>
        <w:left w:w="100.0" w:type="dxa"/>
        <w:bottom w:w="100.0" w:type="dxa"/>
        <w:right w:w="100.0" w:type="dxa"/>
      </w:tblCellMar>
    </w:tblPr>
  </w:style>
  <w:style w:type="table" w:styleId="af1" w:customStyle="1">
    <w:basedOn w:val="TableNormal2"/>
    <w:tblPr>
      <w:tblStyleRowBandSize w:val="1"/>
      <w:tblStyleColBandSize w:val="1"/>
      <w:tblCellMar>
        <w:top w:w="100.0" w:type="dxa"/>
        <w:left w:w="100.0" w:type="dxa"/>
        <w:bottom w:w="100.0" w:type="dxa"/>
        <w:right w:w="100.0" w:type="dxa"/>
      </w:tblCellMar>
    </w:tblPr>
  </w:style>
  <w:style w:type="table" w:styleId="af2" w:customStyle="1">
    <w:basedOn w:val="TableNormal2"/>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tWNSJjXNFcw" TargetMode="External"/><Relationship Id="rId10" Type="http://schemas.openxmlformats.org/officeDocument/2006/relationships/hyperlink" Target="https://inkubatorpomyslow.org.pl/app/uploads/2019/02/otwarta_kuchnia_miejska_model.pdf" TargetMode="External"/><Relationship Id="rId9" Type="http://schemas.openxmlformats.org/officeDocument/2006/relationships/hyperlink" Target="https://inkubatorpomyslow.org.pl/app/uploads/2019/02/otwartakuchnia_www.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kubatorpomyslow.org.pl/innowacja/otwarta-kuchnia-miejska/" TargetMode="External"/><Relationship Id="rId8" Type="http://schemas.openxmlformats.org/officeDocument/2006/relationships/hyperlink" Target="mailto:niedzialkowska.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PIGyGkjkBET01eucibv1TbaBKw==">CgMxLjA4AHIhMXRMaER1Sl9La0NCbF8xaWtoSkZKYUZzX3laZlQ3OGRl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2021-06-22T11:38:00Z</dcterms:created>
</cp:coreProperties>
</file>